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E5307B" w:rsidP="00934FE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OT.4351.1</w:t>
            </w:r>
            <w:r w:rsidR="00F735D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FD032D" w:rsidP="00F735D2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FD032D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osek o objęcie refundacją leku </w:t>
            </w:r>
            <w:proofErr w:type="spellStart"/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>Cosentyx</w:t>
            </w:r>
            <w:proofErr w:type="spellEnd"/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>sekukinumab</w:t>
            </w:r>
            <w:proofErr w:type="spellEnd"/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) </w:t>
            </w:r>
            <w:r w:rsidR="00E5307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 ramach programu lekowego: „Leczenie łuszczycowego zapalenia stawów o </w:t>
            </w:r>
            <w:r w:rsid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przebiegu agresywnym (ŁZS) </w:t>
            </w:r>
            <w:proofErr w:type="spellStart"/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>sekukin</w:t>
            </w:r>
            <w:r w:rsid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>umabem</w:t>
            </w:r>
            <w:proofErr w:type="spellEnd"/>
            <w:r w:rsid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u pacjentów z </w:t>
            </w:r>
            <w:r w:rsid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> </w:t>
            </w:r>
            <w:r w:rsidR="00F735D2" w:rsidRPr="00F735D2">
              <w:rPr>
                <w:rFonts w:ascii="Arial" w:eastAsia="Calibri" w:hAnsi="Arial" w:cs="Arial"/>
                <w:sz w:val="24"/>
                <w:szCs w:val="24"/>
                <w:lang w:eastAsia="ar-SA"/>
              </w:rPr>
              <w:t>występującą jednocześnie łuszczycą plackowatą o nasileniu umiarkowanym do ciężkiego lub u pacjentów z niewystarczającą odpowiedzią na leczenie inhibitorami TNF-alfa (ICD-10 L45.5, M07.1, M07.2, M07.3)”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0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0" o:title=""/>
          </v:shape>
          <w:control r:id="rId14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0" o:title=""/>
          </v:shape>
          <w:control r:id="rId15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0" o:title=""/>
          </v:shape>
          <w:control r:id="rId16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84" type="#_x0000_t75" style="width:12pt;height:12.75pt" o:ole="">
            <v:imagedata r:id="rId10" o:title=""/>
          </v:shape>
          <w:control r:id="rId17" w:name="CheckBox181111224" w:shapeid="_x0000_i1084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83" type="#_x0000_t75" style="width:12pt;height:12.75pt" o:ole="">
            <v:imagedata r:id="rId10" o:title=""/>
          </v:shape>
          <w:control r:id="rId18" w:name="CheckBox181111225" w:shapeid="_x0000_i1083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225" w:dyaOrig="225">
          <v:shape id="_x0000_i1082" type="#_x0000_t75" style="width:12pt;height:12.75pt" o:ole="">
            <v:imagedata r:id="rId10" o:title=""/>
          </v:shape>
          <w:control r:id="rId19" w:name="CheckBox1811112251" w:shapeid="_x0000_i1082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F735D2">
        <w:rPr>
          <w:rFonts w:ascii="Calibri" w:eastAsia="Times New Roman" w:hAnsi="Calibri" w:cs="Calibri"/>
          <w:szCs w:val="24"/>
          <w:lang w:eastAsia="en-US"/>
        </w:rPr>
        <w:object w:dxaOrig="225" w:dyaOrig="225">
          <v:shape id="_x0000_i1081" type="#_x0000_t75" style="width:12pt;height:12.75pt" o:ole="">
            <v:imagedata r:id="rId10" o:title=""/>
          </v:shape>
          <w:control r:id="rId20" w:name="CheckBox18111122511" w:shapeid="_x0000_i1081"/>
        </w:object>
      </w:r>
      <w:r w:rsidR="00953DA2" w:rsidRPr="00F735D2">
        <w:rPr>
          <w:rFonts w:ascii="Arial" w:eastAsia="Times New Roman" w:hAnsi="Arial" w:cs="Times New Roman"/>
          <w:sz w:val="20"/>
        </w:rPr>
        <w:t xml:space="preserve"> </w:t>
      </w:r>
      <w:r w:rsidR="00953DA2" w:rsidRPr="00F735D2">
        <w:rPr>
          <w:rStyle w:val="txt-new"/>
          <w:rFonts w:ascii="Arial" w:hAnsi="Arial" w:cs="Arial"/>
          <w:sz w:val="18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</w:t>
      </w:r>
      <w:r w:rsidR="00953DA2">
        <w:rPr>
          <w:rStyle w:val="txt-new"/>
        </w:rPr>
        <w:t>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Pr="00B5502B" w:rsidRDefault="00A82C21" w:rsidP="00F735D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bookmarkStart w:id="1" w:name="_GoBack"/>
      <w:bookmarkEnd w:id="1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A58C8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  <w:rsid w:val="00C95539"/>
    <w:rsid w:val="00E5307B"/>
    <w:rsid w:val="00F735D2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7409F26B-EA76-4453-904F-F43A1F75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Konrad Pirek</cp:lastModifiedBy>
  <cp:revision>14</cp:revision>
  <dcterms:created xsi:type="dcterms:W3CDTF">2015-12-10T10:12:00Z</dcterms:created>
  <dcterms:modified xsi:type="dcterms:W3CDTF">2017-06-14T05:29:00Z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