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0829D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0829D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0829D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FA47944" w:rsidR="000B57EF" w:rsidRPr="0068177F" w:rsidRDefault="000829D8" w:rsidP="000829D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110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110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0829D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3E5C3C7" w:rsidR="000B57EF" w:rsidRPr="00D82A2C" w:rsidRDefault="00D110AB" w:rsidP="00D110A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10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 Tresiba (insulina degludec) we wskazaniach: cukrzyca typu 1 u dorosłych, młodzieży i dzieci powyżej 1. roku życia; cukrzyca typu 2 u pacjentów leczonych insuliną NPH od co najmniej 6 miesięcy i z HbA1c ≥ 8%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110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oraz cukrzyca typu 2 u pacjentów leczonych insuliną NPH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110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od co najmniej 6 miesięcy i z udokumentowanymi nawracającymi epizodami ciężkiej lub nocnej hipoglikemii oraz cukrzyca o znanej przyczynie (zgodnie z definicją wg WHO)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0184C71A" w:rsidR="002A33D2" w:rsidRPr="00D110AB" w:rsidRDefault="00D110AB" w:rsidP="00D110AB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Cs/>
          <w:kern w:val="32"/>
          <w:sz w:val="20"/>
          <w:szCs w:val="20"/>
        </w:rPr>
      </w:pPr>
      <w:r w:rsidRPr="00D110AB">
        <w:rPr>
          <w:rStyle w:val="NAGZnak"/>
          <w:bCs/>
          <w:kern w:val="32"/>
          <w:sz w:val="20"/>
          <w:szCs w:val="20"/>
        </w:rPr>
        <w:t>Wniosek o objęcie refundacją leku Tresiba (insulina degludec) we wskazaniach: cukrzyca typu 1 u dorosłych, młodzieży i dzieci powyżej 1. roku życia; cukrzyca typu 2 u pacjentów leczonych insuliną NPH od co najmniej 6 miesięcy i z HbA1c ≥ 8%</w:t>
      </w:r>
      <w:r>
        <w:rPr>
          <w:rStyle w:val="NAGZnak"/>
          <w:bCs/>
          <w:kern w:val="32"/>
          <w:sz w:val="20"/>
          <w:szCs w:val="20"/>
        </w:rPr>
        <w:t xml:space="preserve"> </w:t>
      </w:r>
      <w:r w:rsidRPr="00D110AB">
        <w:rPr>
          <w:rStyle w:val="NAGZnak"/>
          <w:bCs/>
          <w:kern w:val="32"/>
          <w:sz w:val="20"/>
          <w:szCs w:val="20"/>
        </w:rPr>
        <w:t>oraz cukrzyca typu 2 u pacjentów leczonych insuliną NPH</w:t>
      </w:r>
      <w:r>
        <w:rPr>
          <w:rStyle w:val="NAGZnak"/>
          <w:bCs/>
          <w:kern w:val="32"/>
          <w:sz w:val="20"/>
          <w:szCs w:val="20"/>
        </w:rPr>
        <w:t xml:space="preserve"> </w:t>
      </w:r>
      <w:r w:rsidRPr="00D110AB">
        <w:rPr>
          <w:rStyle w:val="NAGZnak"/>
          <w:bCs/>
          <w:kern w:val="32"/>
          <w:sz w:val="20"/>
          <w:szCs w:val="20"/>
        </w:rPr>
        <w:t>od co najmniej 6 miesięcy i z udokumentowanymi nawracającymi epizodami ciężkiej lub nocnej hipoglikemii oraz cukrzyca o znanej przyczynie (zgodnie z definicją wg WHO)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53EBC9E" w:rsidR="000B57EF" w:rsidRPr="000C1AAF" w:rsidRDefault="005E0437" w:rsidP="000C1AA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777C" w14:textId="77777777" w:rsidR="00BC5853" w:rsidRDefault="00BC5853" w:rsidP="005E0437">
      <w:pPr>
        <w:spacing w:after="0" w:line="240" w:lineRule="auto"/>
      </w:pPr>
      <w:r>
        <w:separator/>
      </w:r>
    </w:p>
  </w:endnote>
  <w:endnote w:type="continuationSeparator" w:id="0">
    <w:p w14:paraId="7A67EB6A" w14:textId="77777777" w:rsidR="00BC5853" w:rsidRDefault="00BC585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FE53" w14:textId="77777777" w:rsidR="00BC5853" w:rsidRDefault="00BC5853" w:rsidP="005E0437">
      <w:pPr>
        <w:spacing w:after="0" w:line="240" w:lineRule="auto"/>
      </w:pPr>
      <w:r>
        <w:separator/>
      </w:r>
    </w:p>
  </w:footnote>
  <w:footnote w:type="continuationSeparator" w:id="0">
    <w:p w14:paraId="463441C0" w14:textId="77777777" w:rsidR="00BC5853" w:rsidRDefault="00BC585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29D8"/>
    <w:rsid w:val="000B57EF"/>
    <w:rsid w:val="000C1AA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3080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110AB"/>
    <w:rsid w:val="00D82A2C"/>
    <w:rsid w:val="00E134C5"/>
    <w:rsid w:val="00F42438"/>
    <w:rsid w:val="00F773FB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6</cp:revision>
  <dcterms:created xsi:type="dcterms:W3CDTF">2020-07-23T12:38:00Z</dcterms:created>
  <dcterms:modified xsi:type="dcterms:W3CDTF">2021-02-05T12:49:00Z</dcterms:modified>
</cp:coreProperties>
</file>