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93C9A43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DAFF47B" w:rsidR="000B57EF" w:rsidRPr="00D82A2C" w:rsidRDefault="004B6E50" w:rsidP="00AC13A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Stelara</w:t>
            </w:r>
            <w:proofErr w:type="spellEnd"/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ustekinumab</w:t>
            </w:r>
            <w:proofErr w:type="spellEnd"/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</w:t>
            </w:r>
            <w:r w:rsidR="00AC13A3" w:rsidRP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pacjentów z wrzodziejącym zapaleniem jelita grubego (WZJG) (ICD-10 K51)</w:t>
            </w:r>
            <w:r w:rsidR="00AC13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ACD1D16" w14:textId="77777777" w:rsidR="00AC13A3" w:rsidRDefault="00AC13A3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proofErr w:type="spellStart"/>
      <w:r w:rsidRPr="00AC13A3">
        <w:rPr>
          <w:rStyle w:val="NAGZnak"/>
          <w:b w:val="0"/>
          <w:kern w:val="32"/>
          <w:sz w:val="20"/>
          <w:szCs w:val="20"/>
        </w:rPr>
        <w:t>Stelara</w:t>
      </w:r>
      <w:proofErr w:type="spellEnd"/>
      <w:r w:rsidRPr="00AC13A3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AC13A3">
        <w:rPr>
          <w:rStyle w:val="NAGZnak"/>
          <w:b w:val="0"/>
          <w:kern w:val="32"/>
          <w:sz w:val="20"/>
          <w:szCs w:val="20"/>
        </w:rPr>
        <w:t>ustekinumab</w:t>
      </w:r>
      <w:proofErr w:type="spellEnd"/>
      <w:r w:rsidRPr="00AC13A3">
        <w:rPr>
          <w:rStyle w:val="NAGZnak"/>
          <w:b w:val="0"/>
          <w:kern w:val="32"/>
          <w:sz w:val="20"/>
          <w:szCs w:val="20"/>
        </w:rPr>
        <w:t>) w ramach programu lekowego „Leczenie pacjentów z wrzodziejącym zapaleniem jelita grubego (WZJG) (ICD-10 K51)”</w:t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13A3"/>
    <w:rsid w:val="00AC2A25"/>
    <w:rsid w:val="00B476FB"/>
    <w:rsid w:val="00B85D35"/>
    <w:rsid w:val="00B9234B"/>
    <w:rsid w:val="00C07EA1"/>
    <w:rsid w:val="00C70D09"/>
    <w:rsid w:val="00C85811"/>
    <w:rsid w:val="00D82A2C"/>
    <w:rsid w:val="00E134C5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6</cp:revision>
  <dcterms:created xsi:type="dcterms:W3CDTF">2020-05-28T13:16:00Z</dcterms:created>
  <dcterms:modified xsi:type="dcterms:W3CDTF">2020-12-03T11:56:00Z</dcterms:modified>
</cp:coreProperties>
</file>